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405"/>
        <w:gridCol w:w="4491"/>
        <w:gridCol w:w="4581"/>
        <w:gridCol w:w="3969"/>
      </w:tblGrid>
      <w:tr w:rsidR="00CF6495" w14:paraId="1389D603" w14:textId="1B035C6E" w:rsidTr="00B729B8">
        <w:tc>
          <w:tcPr>
            <w:tcW w:w="2405" w:type="dxa"/>
          </w:tcPr>
          <w:p w14:paraId="4164C785" w14:textId="77777777" w:rsidR="00CF6495" w:rsidRPr="003B43CB" w:rsidRDefault="00CF6495" w:rsidP="00A5341A">
            <w:pPr>
              <w:rPr>
                <w:b/>
                <w:bCs/>
              </w:rPr>
            </w:pPr>
            <w:r w:rsidRPr="003B43CB">
              <w:rPr>
                <w:b/>
                <w:bCs/>
              </w:rPr>
              <w:t>Этап использования лесов или оборота древесины</w:t>
            </w:r>
          </w:p>
        </w:tc>
        <w:tc>
          <w:tcPr>
            <w:tcW w:w="4491" w:type="dxa"/>
          </w:tcPr>
          <w:p w14:paraId="524707B1" w14:textId="77777777" w:rsidR="00CF6495" w:rsidRPr="003B43CB" w:rsidRDefault="00CF6495" w:rsidP="00A5341A">
            <w:pPr>
              <w:rPr>
                <w:b/>
                <w:bCs/>
              </w:rPr>
            </w:pPr>
            <w:r w:rsidRPr="003B43CB">
              <w:rPr>
                <w:b/>
                <w:bCs/>
              </w:rPr>
              <w:t>Действующие нормы</w:t>
            </w:r>
          </w:p>
        </w:tc>
        <w:tc>
          <w:tcPr>
            <w:tcW w:w="4581" w:type="dxa"/>
          </w:tcPr>
          <w:p w14:paraId="09FEEAFE" w14:textId="77777777" w:rsidR="00CF6495" w:rsidRPr="003B43CB" w:rsidRDefault="00CF6495" w:rsidP="00A5341A">
            <w:pPr>
              <w:rPr>
                <w:b/>
                <w:bCs/>
              </w:rPr>
            </w:pPr>
            <w:r w:rsidRPr="003B43CB">
              <w:rPr>
                <w:b/>
                <w:bCs/>
              </w:rPr>
              <w:t>Изменения законопроектом</w:t>
            </w:r>
          </w:p>
        </w:tc>
        <w:tc>
          <w:tcPr>
            <w:tcW w:w="3969" w:type="dxa"/>
          </w:tcPr>
          <w:p w14:paraId="6AFDBB21" w14:textId="313D8538" w:rsidR="00CF6495" w:rsidRPr="003B43CB" w:rsidRDefault="00927BE7" w:rsidP="00CF6495">
            <w:pPr>
              <w:rPr>
                <w:b/>
                <w:bCs/>
              </w:rPr>
            </w:pPr>
            <w:r>
              <w:rPr>
                <w:b/>
                <w:bCs/>
              </w:rPr>
              <w:t>Факторы риска и противоречия</w:t>
            </w:r>
          </w:p>
        </w:tc>
      </w:tr>
      <w:tr w:rsidR="00CF6495" w14:paraId="1D08EC4E" w14:textId="2300D2A8" w:rsidTr="00B729B8">
        <w:tc>
          <w:tcPr>
            <w:tcW w:w="2405" w:type="dxa"/>
          </w:tcPr>
          <w:p w14:paraId="284FBE74" w14:textId="77777777" w:rsidR="00CF6495" w:rsidRDefault="00CF6495" w:rsidP="00A5341A">
            <w:r>
              <w:t>Договор аренды лесного участка, договор купли-продажи лесных насаждений</w:t>
            </w:r>
          </w:p>
        </w:tc>
        <w:tc>
          <w:tcPr>
            <w:tcW w:w="4491" w:type="dxa"/>
          </w:tcPr>
          <w:p w14:paraId="164A3984" w14:textId="4C8DD99D" w:rsidR="00CF6495" w:rsidRDefault="00CF6495" w:rsidP="00A5341A">
            <w:r>
              <w:t>Заключается в письменной форме, вносится в ЛесЕГАИС сотрудниками РОИВ. Заключаются в соответствии с типовыми формами, утвержденными Приказом МПР № 693 от 20.12.2017 г. и Приказом МПР № 567 от 17.10.2017 г.</w:t>
            </w:r>
          </w:p>
        </w:tc>
        <w:tc>
          <w:tcPr>
            <w:tcW w:w="4581" w:type="dxa"/>
          </w:tcPr>
          <w:p w14:paraId="388D3A78" w14:textId="4EF7082B" w:rsidR="00CF6495" w:rsidRDefault="00CF6495" w:rsidP="00A5341A">
            <w:r>
              <w:t>Заключается в электронной форме в ЛесЕГАИС, подписывается электронной подписью.</w:t>
            </w:r>
            <w:r w:rsidR="00305996">
              <w:t xml:space="preserve"> Договоры должны быть приведены к типовым формам.</w:t>
            </w:r>
          </w:p>
        </w:tc>
        <w:tc>
          <w:tcPr>
            <w:tcW w:w="3969" w:type="dxa"/>
          </w:tcPr>
          <w:p w14:paraId="719E3FA2" w14:textId="46238EB8" w:rsidR="00CF6495" w:rsidRDefault="00B729B8" w:rsidP="00A5341A">
            <w:r>
              <w:t xml:space="preserve">Требуется подзаконный акт. </w:t>
            </w:r>
            <w:r w:rsidR="00CF6495">
              <w:t>Противоречит ст. 609 ГК РФ</w:t>
            </w:r>
            <w:r w:rsidR="00305996">
              <w:t>. Не установлен порядок приведения договоров к типовым формам.</w:t>
            </w:r>
          </w:p>
        </w:tc>
      </w:tr>
      <w:tr w:rsidR="00D7425A" w14:paraId="4B88AA27" w14:textId="77777777" w:rsidTr="00F92D72">
        <w:tc>
          <w:tcPr>
            <w:tcW w:w="15446" w:type="dxa"/>
            <w:gridSpan w:val="4"/>
            <w:shd w:val="clear" w:color="auto" w:fill="E7E6E6" w:themeFill="background2"/>
          </w:tcPr>
          <w:p w14:paraId="46F54C9B" w14:textId="252DE9BC" w:rsidR="00D7425A" w:rsidRPr="00D7425A" w:rsidRDefault="00D7425A" w:rsidP="00A5341A">
            <w:r w:rsidRPr="00D7425A">
              <w:rPr>
                <w:b/>
                <w:bCs/>
              </w:rPr>
              <w:t>Предложение:</w:t>
            </w:r>
            <w:r>
              <w:t xml:space="preserve"> скорректировать норму в соответствии со ст. 609 ГК РФ, оставив в том числе письменную форму договора. Помимо этого, стоит рассмотреть возможность проведение конкурсов и аукционов в электронной форме на платформе ЛесЕГАИС, по аналогии с 44-ФЗ и 223-ФЗ (Госзакупки). Электронные торги помогут сделать процесс предоставления лесов в пользование более прозрачным. В таком случае в торгах будут участвовать только зарегистрированные в ЛесЕГАИС предприятия, участвующие в обороте древесины. Таким образом круг лиц, участвующих в торгах, будет ограничен именно </w:t>
            </w:r>
            <w:proofErr w:type="spellStart"/>
            <w:r>
              <w:t>лесопользователями</w:t>
            </w:r>
            <w:proofErr w:type="spellEnd"/>
            <w:r>
              <w:t>, работающими с системой учета древесины и сделок, а число сторонних организаций, занимающихся передачей прав на использование лесов в субаренду или перенаем существенно сократится.</w:t>
            </w:r>
          </w:p>
        </w:tc>
      </w:tr>
      <w:tr w:rsidR="00CF6495" w14:paraId="25F3580C" w14:textId="5EFC2A6D" w:rsidTr="00B729B8">
        <w:tc>
          <w:tcPr>
            <w:tcW w:w="2405" w:type="dxa"/>
          </w:tcPr>
          <w:p w14:paraId="7A5E3696" w14:textId="77777777" w:rsidR="00CF6495" w:rsidRDefault="00CF6495" w:rsidP="00A5341A">
            <w:r>
              <w:t>Проект освоения лесов</w:t>
            </w:r>
          </w:p>
        </w:tc>
        <w:tc>
          <w:tcPr>
            <w:tcW w:w="4491" w:type="dxa"/>
          </w:tcPr>
          <w:p w14:paraId="0B6118EC" w14:textId="7365284B" w:rsidR="00CF6495" w:rsidRDefault="00CF6495" w:rsidP="00A5341A">
            <w:r>
              <w:t xml:space="preserve">Составляется в соответствии с Приказом </w:t>
            </w:r>
            <w:r w:rsidR="00D53A3E">
              <w:t>Рослесхоза № 96 от 29.022012</w:t>
            </w:r>
            <w:r>
              <w:t xml:space="preserve">, предоставляется на экспертизу в уполномоченный орган власти. </w:t>
            </w:r>
            <w:r w:rsidR="00D53A3E">
              <w:t xml:space="preserve">В соответствии с Приказом МПР РФ </w:t>
            </w:r>
            <w:r w:rsidR="00D53A3E">
              <w:t>№496 от 26.09.2016</w:t>
            </w:r>
            <w:r w:rsidR="00D53A3E">
              <w:t xml:space="preserve"> проводится экспертиза. </w:t>
            </w:r>
            <w:r>
              <w:t xml:space="preserve">Заключение Экспертизы направляется </w:t>
            </w:r>
            <w:proofErr w:type="spellStart"/>
            <w:r>
              <w:t>Лесопользователю</w:t>
            </w:r>
            <w:proofErr w:type="spellEnd"/>
            <w:r>
              <w:t xml:space="preserve"> в течение 5 дней с момента его утверждения.</w:t>
            </w:r>
          </w:p>
        </w:tc>
        <w:tc>
          <w:tcPr>
            <w:tcW w:w="4581" w:type="dxa"/>
          </w:tcPr>
          <w:p w14:paraId="2705D61A" w14:textId="77777777" w:rsidR="00CF6495" w:rsidRDefault="00CF6495" w:rsidP="00A5341A">
            <w:r>
              <w:t>Сведения, содержащиеся в Проекте освоения лесов в срок не более 3-х рабочих дней с момента утверждения положительного заключения экспертизы вносятся в ЛесЕГАИС уполномоченным органом власти.</w:t>
            </w:r>
          </w:p>
        </w:tc>
        <w:tc>
          <w:tcPr>
            <w:tcW w:w="3969" w:type="dxa"/>
          </w:tcPr>
          <w:p w14:paraId="0AF48C1D" w14:textId="5D26FB6A" w:rsidR="00CF6495" w:rsidRDefault="00CF6495" w:rsidP="00A5341A">
            <w:r>
              <w:t>Требуется подзаконный акт</w:t>
            </w:r>
            <w:r w:rsidR="00305996">
              <w:t>.</w:t>
            </w:r>
          </w:p>
        </w:tc>
      </w:tr>
      <w:tr w:rsidR="00D7425A" w14:paraId="60A34D24" w14:textId="77777777" w:rsidTr="00F92D72">
        <w:tc>
          <w:tcPr>
            <w:tcW w:w="15446" w:type="dxa"/>
            <w:gridSpan w:val="4"/>
            <w:shd w:val="clear" w:color="auto" w:fill="E7E6E6" w:themeFill="background2"/>
          </w:tcPr>
          <w:p w14:paraId="08A5EDE0" w14:textId="113D1001" w:rsidR="00D7425A" w:rsidRPr="00D7425A" w:rsidRDefault="00D7425A" w:rsidP="00A5341A">
            <w:r w:rsidRPr="00D7425A">
              <w:rPr>
                <w:b/>
                <w:bCs/>
              </w:rPr>
              <w:t>Предложение:</w:t>
            </w:r>
            <w:r>
              <w:rPr>
                <w:b/>
                <w:bCs/>
              </w:rPr>
              <w:t xml:space="preserve"> </w:t>
            </w:r>
            <w:r>
              <w:t xml:space="preserve">рассмотреть возможность формирования Проекта освоения лесов в ЛесЕГАИС </w:t>
            </w:r>
            <w:proofErr w:type="spellStart"/>
            <w:r>
              <w:t>лесопользователем</w:t>
            </w:r>
            <w:proofErr w:type="spellEnd"/>
            <w:r>
              <w:t xml:space="preserve">, его передачи в виде электронного документа в орган, уполномоченный на проведение экспертизы. Помимо этого, в ЛесЕГАИС могут быть внесены в том числе и лесохозяйственные регламенты лесничеств. Это упростит как сам проект разработки проекта освоения лесов, так и документооборот между </w:t>
            </w:r>
            <w:proofErr w:type="spellStart"/>
            <w:r>
              <w:t>лесопользователем</w:t>
            </w:r>
            <w:proofErr w:type="spellEnd"/>
            <w:r>
              <w:t xml:space="preserve"> и контролирующим органом. Вместе с этим, некоторые сведения из проекта освоения лесов в дальнейшем дублируются в лесных декларациях и технологических картах лесосечных работ</w:t>
            </w:r>
            <w:r w:rsidR="0079069F">
              <w:t>, поэтому формирование и размещение проекта освоения лесов в ЛесЕГАИС поможет автоматизировать заполнение последующих лесохозяйственных документов.</w:t>
            </w:r>
          </w:p>
        </w:tc>
      </w:tr>
      <w:tr w:rsidR="00CF6495" w14:paraId="5AE3D7E7" w14:textId="62AFF951" w:rsidTr="00B729B8">
        <w:tc>
          <w:tcPr>
            <w:tcW w:w="2405" w:type="dxa"/>
          </w:tcPr>
          <w:p w14:paraId="03858B78" w14:textId="77777777" w:rsidR="00CF6495" w:rsidRDefault="00CF6495" w:rsidP="00A5341A">
            <w:r>
              <w:t>Лесная декларация</w:t>
            </w:r>
          </w:p>
        </w:tc>
        <w:tc>
          <w:tcPr>
            <w:tcW w:w="4491" w:type="dxa"/>
          </w:tcPr>
          <w:p w14:paraId="35443C88" w14:textId="24A9A1A6" w:rsidR="00CF6495" w:rsidRDefault="00CF6495" w:rsidP="00A5341A">
            <w:r>
              <w:t xml:space="preserve">Ежегодно предоставляется в РОИВ на бумажном носителе или в форме электронного документа </w:t>
            </w:r>
            <w:proofErr w:type="spellStart"/>
            <w:r>
              <w:t>лесопользователями</w:t>
            </w:r>
            <w:proofErr w:type="spellEnd"/>
            <w:r>
              <w:t xml:space="preserve">. В соответствии с </w:t>
            </w:r>
            <w:r>
              <w:lastRenderedPageBreak/>
              <w:t>Приказом МПР РФ № 641 от 08.12.2016 РОИВ осуществляет приемку или отказ в приемке.</w:t>
            </w:r>
          </w:p>
        </w:tc>
        <w:tc>
          <w:tcPr>
            <w:tcW w:w="4581" w:type="dxa"/>
          </w:tcPr>
          <w:p w14:paraId="15D30141" w14:textId="1AAB1CFF" w:rsidR="00CF6495" w:rsidRDefault="00CF6495" w:rsidP="00A5341A">
            <w:r>
              <w:lastRenderedPageBreak/>
              <w:t xml:space="preserve">Ежегодно формируется и размещается в ЛесЕГАИС </w:t>
            </w:r>
            <w:proofErr w:type="spellStart"/>
            <w:r>
              <w:t>лесопользователями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14:paraId="13FC8EE4" w14:textId="56FD83D7" w:rsidR="00CF6495" w:rsidRDefault="00B729B8" w:rsidP="00A5341A">
            <w:r>
              <w:t xml:space="preserve">Требуется подзаконный акт. </w:t>
            </w:r>
            <w:r w:rsidR="00CF6495">
              <w:t>Не установлено, кто осуществляет контроль и приемку лесн</w:t>
            </w:r>
            <w:r w:rsidR="00927BE7">
              <w:t>ых</w:t>
            </w:r>
            <w:r w:rsidR="00CF6495">
              <w:t xml:space="preserve"> деклараци</w:t>
            </w:r>
            <w:r w:rsidR="00927BE7">
              <w:t>й.</w:t>
            </w:r>
          </w:p>
        </w:tc>
      </w:tr>
      <w:tr w:rsidR="0079069F" w14:paraId="0A8FF51C" w14:textId="77777777" w:rsidTr="00F92D72">
        <w:tc>
          <w:tcPr>
            <w:tcW w:w="15446" w:type="dxa"/>
            <w:gridSpan w:val="4"/>
            <w:shd w:val="clear" w:color="auto" w:fill="E7E6E6" w:themeFill="background2"/>
          </w:tcPr>
          <w:p w14:paraId="24E544DF" w14:textId="4B67BD0E" w:rsidR="0079069F" w:rsidRPr="0079069F" w:rsidRDefault="0079069F" w:rsidP="00A5341A">
            <w:r w:rsidRPr="00D7425A">
              <w:rPr>
                <w:b/>
                <w:bCs/>
              </w:rPr>
              <w:t>Предложение:</w:t>
            </w:r>
            <w:r>
              <w:rPr>
                <w:b/>
                <w:bCs/>
              </w:rPr>
              <w:t xml:space="preserve"> </w:t>
            </w:r>
            <w:r>
              <w:t>расширить законопроект нормами, содержащими передачу отдельных полномочий в части проверки лесных деклараций региональным ОИВ, т.е. наделить региональные ОИВ в рамках переданных полномочий отдельными функциями оператора ЛесЕГАИС.</w:t>
            </w:r>
          </w:p>
        </w:tc>
      </w:tr>
      <w:tr w:rsidR="00CF6495" w14:paraId="56E905D0" w14:textId="5B027AF9" w:rsidTr="00B729B8">
        <w:tc>
          <w:tcPr>
            <w:tcW w:w="2405" w:type="dxa"/>
          </w:tcPr>
          <w:p w14:paraId="71DEA915" w14:textId="77777777" w:rsidR="00CF6495" w:rsidRDefault="00CF6495" w:rsidP="00A5341A">
            <w:r>
              <w:t>Технологическая карта лесосечных работ</w:t>
            </w:r>
          </w:p>
        </w:tc>
        <w:tc>
          <w:tcPr>
            <w:tcW w:w="4491" w:type="dxa"/>
          </w:tcPr>
          <w:p w14:paraId="0609879D" w14:textId="77777777" w:rsidR="00CF6495" w:rsidRDefault="00CF6495" w:rsidP="00A5341A">
            <w:r>
              <w:t>Составляется по результатам отвода и таксации лесосеки по форме, утвержденной Приказом МПР РФ №367 от 27.06.2016г.</w:t>
            </w:r>
          </w:p>
        </w:tc>
        <w:tc>
          <w:tcPr>
            <w:tcW w:w="4581" w:type="dxa"/>
          </w:tcPr>
          <w:p w14:paraId="36A4449D" w14:textId="4E260C10" w:rsidR="00CF6495" w:rsidRDefault="00CF6495" w:rsidP="00A5341A">
            <w:r>
              <w:t xml:space="preserve">Составляется по результатам отвода и таксации лесосек и формируется в ЛесЕГАИС </w:t>
            </w:r>
            <w:proofErr w:type="spellStart"/>
            <w:r>
              <w:t>лесопользователями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14:paraId="09347A80" w14:textId="56B7BCB9" w:rsidR="00CF6495" w:rsidRDefault="00B729B8" w:rsidP="00A5341A">
            <w:r>
              <w:t xml:space="preserve">Требуется подзаконный акт. </w:t>
            </w:r>
            <w:r w:rsidR="00CF6495">
              <w:t xml:space="preserve">Требует определения термина «Отвод лесосеки». </w:t>
            </w:r>
          </w:p>
        </w:tc>
      </w:tr>
      <w:tr w:rsidR="0079069F" w14:paraId="0BBF4BFC" w14:textId="77777777" w:rsidTr="00F92D72">
        <w:tc>
          <w:tcPr>
            <w:tcW w:w="15446" w:type="dxa"/>
            <w:gridSpan w:val="4"/>
            <w:shd w:val="clear" w:color="auto" w:fill="E7E6E6" w:themeFill="background2"/>
          </w:tcPr>
          <w:p w14:paraId="109DAB3F" w14:textId="1E1C7703" w:rsidR="00246DB5" w:rsidRPr="0079069F" w:rsidRDefault="0079069F" w:rsidP="00A5341A">
            <w:r w:rsidRPr="00D7425A">
              <w:rPr>
                <w:b/>
                <w:bCs/>
              </w:rPr>
              <w:t>Предложение:</w:t>
            </w:r>
            <w:r>
              <w:rPr>
                <w:b/>
                <w:bCs/>
              </w:rPr>
              <w:t xml:space="preserve"> </w:t>
            </w:r>
            <w:r>
              <w:t xml:space="preserve">закрепить понятие «Отвод лесосек». В связи с предложением по внесению в ЛесЕГАИС сведений о машинах и оборудовании, предназначенных для рубки лесных насаждений и перевозки древесины, а также с существующим требованием по </w:t>
            </w:r>
            <w:r w:rsidR="00246DB5">
              <w:t xml:space="preserve">внесению сведений по охране труда и технике безопасности (раздел №6), </w:t>
            </w:r>
            <w:r>
              <w:t>расширить перечень сведений, указываемых в технологической карте лесосечных работ перечнем таких машин и оборудования</w:t>
            </w:r>
            <w:r w:rsidR="00246DB5">
              <w:t xml:space="preserve">. Таким образом, при подтверждении работниками, осуществляющими лесосечные работы, </w:t>
            </w:r>
            <w:proofErr w:type="spellStart"/>
            <w:r w:rsidR="00246DB5">
              <w:t>ознакомленности</w:t>
            </w:r>
            <w:proofErr w:type="spellEnd"/>
            <w:r w:rsidR="00246DB5">
              <w:t xml:space="preserve"> с техникой безопасности, можно гарантировать, что работник ознакомлен с техникой безопасности при работе именно с теми машинами и оборудованием, которые применяются при осуществлении лесосечных работ. Такая норма может положительно сказаться на безопасности лиц при осуществлении лесосечных работ.</w:t>
            </w:r>
          </w:p>
        </w:tc>
      </w:tr>
      <w:tr w:rsidR="00CF6495" w14:paraId="33BB6068" w14:textId="3D4C4463" w:rsidTr="00B729B8">
        <w:tc>
          <w:tcPr>
            <w:tcW w:w="2405" w:type="dxa"/>
          </w:tcPr>
          <w:p w14:paraId="4490E10B" w14:textId="77777777" w:rsidR="00CF6495" w:rsidRDefault="00CF6495" w:rsidP="00A5341A">
            <w:r>
              <w:t>Заготовка древесины</w:t>
            </w:r>
          </w:p>
        </w:tc>
        <w:tc>
          <w:tcPr>
            <w:tcW w:w="4491" w:type="dxa"/>
          </w:tcPr>
          <w:p w14:paraId="05162CBB" w14:textId="77777777" w:rsidR="00CF6495" w:rsidRDefault="00CF6495" w:rsidP="00A5341A">
            <w:r>
              <w:t>Заготовка древесины является предпринимательской деятельностью, связанной с рубкой лесных насаждений, а также вывозом древесины из леса.</w:t>
            </w:r>
          </w:p>
        </w:tc>
        <w:tc>
          <w:tcPr>
            <w:tcW w:w="4581" w:type="dxa"/>
          </w:tcPr>
          <w:p w14:paraId="3EBEAB38" w14:textId="723CFBA8" w:rsidR="00CF6495" w:rsidRDefault="00CF6495" w:rsidP="00A5341A">
            <w:r>
              <w:t>К заготовке древесины приравнивается пребывание граждан в лесах с машинами и (или) оборудованием, предназначенным для рубки лесных насаждений, а также для вывоза из леса древесины.</w:t>
            </w:r>
          </w:p>
        </w:tc>
        <w:tc>
          <w:tcPr>
            <w:tcW w:w="3969" w:type="dxa"/>
          </w:tcPr>
          <w:p w14:paraId="31E8532C" w14:textId="0146C82C" w:rsidR="00CF6495" w:rsidRDefault="00CF6495" w:rsidP="00A5341A">
            <w:r>
              <w:t xml:space="preserve">Требует определения понятия «лес». Не учитывает </w:t>
            </w:r>
            <w:r w:rsidR="00927BE7">
              <w:t xml:space="preserve">деятельность </w:t>
            </w:r>
            <w:r>
              <w:t>иностранных граждан и лиц без гражданства. Не учитывает техническое обслуживание и транспортировку машин и оборудования. Не учитывает иную деятельность граждан в лесах.</w:t>
            </w:r>
          </w:p>
        </w:tc>
      </w:tr>
      <w:tr w:rsidR="00246DB5" w14:paraId="6A8CCA5E" w14:textId="77777777" w:rsidTr="00F92D72">
        <w:tc>
          <w:tcPr>
            <w:tcW w:w="15446" w:type="dxa"/>
            <w:gridSpan w:val="4"/>
            <w:shd w:val="clear" w:color="auto" w:fill="E7E6E6" w:themeFill="background2"/>
          </w:tcPr>
          <w:p w14:paraId="2DC49B76" w14:textId="1A60F4D5" w:rsidR="00246DB5" w:rsidRPr="00246DB5" w:rsidRDefault="00246DB5" w:rsidP="00A5341A">
            <w:r w:rsidRPr="00D7425A">
              <w:rPr>
                <w:b/>
                <w:bCs/>
              </w:rPr>
              <w:t>Предложение:</w:t>
            </w:r>
            <w:r>
              <w:rPr>
                <w:b/>
                <w:bCs/>
              </w:rPr>
              <w:t xml:space="preserve"> </w:t>
            </w:r>
            <w:r>
              <w:t xml:space="preserve">целесообразность внедрения такой нормы не ясна и кроет в себе ряд осложнений для граждан и предприятий. Норма не учитывает множество ситуаций, не связанных с заготовкой древесины, при которых граждане могут находиться в лесах с различным оборудованием. </w:t>
            </w:r>
            <w:r w:rsidR="00596517">
              <w:t>В целях реализации механизма предупреждения незаконной заготовки древесины при обнаружении в лесах лиц с машинами и оборудованием, если они еще не приступили к незаконной деятельности в лесах, а также привлечения таких лиц к ответственности, необходимо сильнее дифференцировать обстоятельства.</w:t>
            </w:r>
          </w:p>
        </w:tc>
      </w:tr>
      <w:tr w:rsidR="00CF6495" w14:paraId="012D77F1" w14:textId="38CB8438" w:rsidTr="00B729B8">
        <w:tc>
          <w:tcPr>
            <w:tcW w:w="2405" w:type="dxa"/>
          </w:tcPr>
          <w:p w14:paraId="366E4030" w14:textId="77777777" w:rsidR="00CF6495" w:rsidRDefault="00CF6495" w:rsidP="00A5341A">
            <w:r>
              <w:t>Отчет об использовании лесов</w:t>
            </w:r>
          </w:p>
        </w:tc>
        <w:tc>
          <w:tcPr>
            <w:tcW w:w="4491" w:type="dxa"/>
          </w:tcPr>
          <w:p w14:paraId="57825DC5" w14:textId="77777777" w:rsidR="00CF6495" w:rsidRDefault="00CF6495" w:rsidP="00A5341A">
            <w:r>
              <w:t xml:space="preserve">Отчеты об использовании лесов предоставляется в РОИВ на бумажном носителе или в форме электронного документа </w:t>
            </w:r>
            <w:proofErr w:type="spellStart"/>
            <w:r>
              <w:t>лесопользователем</w:t>
            </w:r>
            <w:proofErr w:type="spellEnd"/>
            <w:r>
              <w:t xml:space="preserve">. В соответствии с </w:t>
            </w:r>
            <w:proofErr w:type="spellStart"/>
            <w:r>
              <w:t>Пркиазом</w:t>
            </w:r>
            <w:proofErr w:type="spellEnd"/>
            <w:r>
              <w:t xml:space="preserve"> МПР №641 от 08.12.2016г. </w:t>
            </w:r>
            <w:proofErr w:type="gramStart"/>
            <w:r>
              <w:t>РОИВ</w:t>
            </w:r>
            <w:proofErr w:type="gramEnd"/>
            <w:r>
              <w:t xml:space="preserve"> осуществляет приемку или отказ в приемке отчета об использовании лесов.</w:t>
            </w:r>
          </w:p>
          <w:p w14:paraId="3EA13313" w14:textId="3F5442B5" w:rsidR="00CF6495" w:rsidRPr="00FE43F1" w:rsidRDefault="00CF6495" w:rsidP="00FE43F1">
            <w:pPr>
              <w:tabs>
                <w:tab w:val="left" w:pos="4275"/>
              </w:tabs>
            </w:pPr>
            <w:r>
              <w:tab/>
            </w:r>
          </w:p>
        </w:tc>
        <w:tc>
          <w:tcPr>
            <w:tcW w:w="4581" w:type="dxa"/>
          </w:tcPr>
          <w:p w14:paraId="49313E3D" w14:textId="77777777" w:rsidR="00CF6495" w:rsidRDefault="00CF6495" w:rsidP="00A5341A">
            <w:r>
              <w:t>Отчет об использовании лесов формируется в ЛесЕГАИС, в том числе с использованием корпоративных и производственных программ.</w:t>
            </w:r>
          </w:p>
        </w:tc>
        <w:tc>
          <w:tcPr>
            <w:tcW w:w="3969" w:type="dxa"/>
          </w:tcPr>
          <w:p w14:paraId="729C2BE3" w14:textId="66AF0314" w:rsidR="00CF6495" w:rsidRDefault="00B729B8" w:rsidP="00A5341A">
            <w:r>
              <w:t xml:space="preserve">Требуется подзаконный акт. </w:t>
            </w:r>
            <w:r w:rsidR="00CF6495">
              <w:t>Не установлено, кто осуществляет контроль и приемку отчета об использовании лесов.</w:t>
            </w:r>
          </w:p>
        </w:tc>
      </w:tr>
      <w:tr w:rsidR="00596517" w14:paraId="50190DAC" w14:textId="77777777" w:rsidTr="00F92D72">
        <w:tc>
          <w:tcPr>
            <w:tcW w:w="15446" w:type="dxa"/>
            <w:gridSpan w:val="4"/>
            <w:shd w:val="clear" w:color="auto" w:fill="E7E6E6" w:themeFill="background2"/>
          </w:tcPr>
          <w:p w14:paraId="50DD2D20" w14:textId="67F32780" w:rsidR="00596517" w:rsidRPr="00596517" w:rsidRDefault="00596517" w:rsidP="00A5341A">
            <w:r w:rsidRPr="00D7425A">
              <w:rPr>
                <w:b/>
                <w:bCs/>
              </w:rPr>
              <w:lastRenderedPageBreak/>
              <w:t>Предложение:</w:t>
            </w:r>
            <w:r>
              <w:rPr>
                <w:b/>
                <w:bCs/>
              </w:rPr>
              <w:t xml:space="preserve"> </w:t>
            </w:r>
            <w:r>
              <w:t xml:space="preserve">аналогично предложению по доработке норм в отношении лесной декларации, необходимо сохранить функцию по приемке отчетов об использовании лесов за региональными ОИВ в рамках переданных полномочий. </w:t>
            </w:r>
          </w:p>
        </w:tc>
      </w:tr>
      <w:tr w:rsidR="00CF6495" w14:paraId="3D296C81" w14:textId="6C4C919B" w:rsidTr="00B729B8">
        <w:tc>
          <w:tcPr>
            <w:tcW w:w="2405" w:type="dxa"/>
          </w:tcPr>
          <w:p w14:paraId="485EFA7E" w14:textId="77777777" w:rsidR="00CF6495" w:rsidRDefault="00CF6495" w:rsidP="00A5341A">
            <w:r>
              <w:t>Учет древесины</w:t>
            </w:r>
          </w:p>
        </w:tc>
        <w:tc>
          <w:tcPr>
            <w:tcW w:w="4491" w:type="dxa"/>
          </w:tcPr>
          <w:p w14:paraId="7EBC987A" w14:textId="77777777" w:rsidR="00CF6495" w:rsidRDefault="00CF6495" w:rsidP="00A5341A">
            <w:r>
              <w:t>Осуществляется юрлицами и гражданами, осуществляющими использование лесов до вывоза из леса в соответствии со ст. 50.1 ЛК РФ и ПП РФ № 1525 от 26.12.2014г.</w:t>
            </w:r>
          </w:p>
        </w:tc>
        <w:tc>
          <w:tcPr>
            <w:tcW w:w="4581" w:type="dxa"/>
          </w:tcPr>
          <w:p w14:paraId="24326A6C" w14:textId="77777777" w:rsidR="00CF6495" w:rsidRDefault="00CF6495" w:rsidP="00A5341A">
            <w:r>
              <w:t xml:space="preserve">Осуществляется юрлицами и ИП, являющимися собственниками древесины, а также собственниками объектов хранения или переработки древесины. </w:t>
            </w:r>
          </w:p>
        </w:tc>
        <w:tc>
          <w:tcPr>
            <w:tcW w:w="3969" w:type="dxa"/>
          </w:tcPr>
          <w:p w14:paraId="507AE81C" w14:textId="0AAECF4E" w:rsidR="00CF6495" w:rsidRDefault="00B729B8" w:rsidP="00A5341A">
            <w:r>
              <w:t>Требуется подзаконный акт. Обременяет учетом лиц, не связанных с</w:t>
            </w:r>
            <w:r w:rsidR="00927BE7">
              <w:t xml:space="preserve"> лесной промышленностью</w:t>
            </w:r>
            <w:r>
              <w:t>. Налагает ограничения на ведение коммерческой деятельности лесопромышленных компаний со стороны третьих лиц. Накладывает серьезные ограничения на деятельность иностранных компаний на территории РФ.</w:t>
            </w:r>
            <w:r w:rsidR="00305996">
              <w:t xml:space="preserve"> Содержит нормы, несущие угрозу информационной и экономической безопасности России.</w:t>
            </w:r>
          </w:p>
        </w:tc>
      </w:tr>
      <w:tr w:rsidR="00596517" w14:paraId="3BBE75AA" w14:textId="77777777" w:rsidTr="00F92D72">
        <w:tc>
          <w:tcPr>
            <w:tcW w:w="15446" w:type="dxa"/>
            <w:gridSpan w:val="4"/>
            <w:shd w:val="clear" w:color="auto" w:fill="E7E6E6" w:themeFill="background2"/>
          </w:tcPr>
          <w:p w14:paraId="27C7EC3C" w14:textId="20648D26" w:rsidR="00596517" w:rsidRPr="00596517" w:rsidRDefault="00596517" w:rsidP="00A5341A">
            <w:r w:rsidRPr="00D7425A">
              <w:rPr>
                <w:b/>
                <w:bCs/>
              </w:rPr>
              <w:t>Предложение:</w:t>
            </w:r>
            <w:r>
              <w:rPr>
                <w:b/>
                <w:bCs/>
              </w:rPr>
              <w:t xml:space="preserve"> </w:t>
            </w:r>
            <w:r>
              <w:t xml:space="preserve">снять с собственников объектов складирования древесины обязанность по учету и регистрации в ЛесЕГАИС, оставив такие требования только в отношении собственников и переработчиков древесины. </w:t>
            </w:r>
          </w:p>
        </w:tc>
      </w:tr>
      <w:tr w:rsidR="00CF6495" w14:paraId="69BF1F87" w14:textId="16275D4E" w:rsidTr="00B729B8">
        <w:tc>
          <w:tcPr>
            <w:tcW w:w="2405" w:type="dxa"/>
          </w:tcPr>
          <w:p w14:paraId="79345E56" w14:textId="77777777" w:rsidR="00CF6495" w:rsidRDefault="00CF6495" w:rsidP="00A5341A">
            <w:r>
              <w:t>Перевозка древесины</w:t>
            </w:r>
          </w:p>
        </w:tc>
        <w:tc>
          <w:tcPr>
            <w:tcW w:w="4491" w:type="dxa"/>
          </w:tcPr>
          <w:p w14:paraId="69140266" w14:textId="77777777" w:rsidR="00CF6495" w:rsidRDefault="00CF6495" w:rsidP="00A5341A">
            <w:r>
              <w:t>Перевозка древесины осуществляется при наличии сопроводительного документа, оформленного в соответствии и по форме, установленной ПП РФ № 571 от 21.06.2014г.</w:t>
            </w:r>
          </w:p>
        </w:tc>
        <w:tc>
          <w:tcPr>
            <w:tcW w:w="4581" w:type="dxa"/>
          </w:tcPr>
          <w:p w14:paraId="3FACF851" w14:textId="77777777" w:rsidR="00CF6495" w:rsidRDefault="00CF6495" w:rsidP="00A5341A">
            <w:r>
              <w:t>Перевозка древесины осуществляется при наличии электронного сопроводительного документа (ЭСД), сформированного в ЛесЕГАИС и подписанного электронной подписью. ЭСД прекращает свое действие после выгрузки древесины, сведения о прекращении действия ЭСД вносятся в ЛесЕГАИС. Физические лица обязаны также иметь ЭСД при перевозке древесины.</w:t>
            </w:r>
          </w:p>
        </w:tc>
        <w:tc>
          <w:tcPr>
            <w:tcW w:w="3969" w:type="dxa"/>
          </w:tcPr>
          <w:p w14:paraId="7F3338B9" w14:textId="341BB5FB" w:rsidR="00CF6495" w:rsidRDefault="00B729B8" w:rsidP="00A5341A">
            <w:r>
              <w:t>Требуется подзаконный акт. Ряд ограничений на перевозку и формирование ЭСД ограничивают возможность предприятий по сортировке лесоматериалов. Не учитывает естественные процессы снижения качества древесины со временем. Накладывает излишние ограничения на граждан. Накладывает ряд ограничений на свободное перемещение товаров</w:t>
            </w:r>
            <w:r w:rsidR="00305996">
              <w:t>.</w:t>
            </w:r>
            <w:r>
              <w:t xml:space="preserve"> </w:t>
            </w:r>
            <w:r w:rsidR="00305996">
              <w:t>П</w:t>
            </w:r>
            <w:r>
              <w:t xml:space="preserve">ротиворечит ст. 74 и ст. 8 Конституции РФ. </w:t>
            </w:r>
          </w:p>
        </w:tc>
      </w:tr>
      <w:tr w:rsidR="00596517" w14:paraId="2400F696" w14:textId="77777777" w:rsidTr="00F92D72">
        <w:tc>
          <w:tcPr>
            <w:tcW w:w="15446" w:type="dxa"/>
            <w:gridSpan w:val="4"/>
            <w:shd w:val="clear" w:color="auto" w:fill="E7E6E6" w:themeFill="background2"/>
          </w:tcPr>
          <w:p w14:paraId="1E39A1CD" w14:textId="7EF2C8F6" w:rsidR="00596517" w:rsidRPr="00596517" w:rsidRDefault="00596517" w:rsidP="00A5341A">
            <w:r w:rsidRPr="00D7425A">
              <w:rPr>
                <w:b/>
                <w:bCs/>
              </w:rPr>
              <w:t>Предложение:</w:t>
            </w:r>
            <w:r>
              <w:rPr>
                <w:b/>
                <w:bCs/>
              </w:rPr>
              <w:t xml:space="preserve"> </w:t>
            </w:r>
            <w:r>
              <w:t>предусмотреть возможность сортировки лесоматериалов на объектах складирования</w:t>
            </w:r>
            <w:r w:rsidR="00F37419">
              <w:t xml:space="preserve"> древесины, учитывающую естественную потерю качества лесоматериалов, а также возможность выборки отдельных бревен высокого качества из низкокачественных партий. Также необходимо предусмотреть возможность сортировки партий смесей пород по отдельным породам. Необходимо исключить слово «сразу» из пункта о прекращении действия сопроводительного документа после выгрузки древесины (предлагаемый п. 6 ст. 50.4 ЛК РФ). Необходимо предусмотреть правила перевозки собственной древесины граждан, торговых операций с которой не совершалось, вероятно имеет смысл отказаться от ЭСД для физических лиц. Также необходимо </w:t>
            </w:r>
            <w:r w:rsidR="00F37419">
              <w:lastRenderedPageBreak/>
              <w:t>рассмотреть конституционность решения о запрете на формирование ЭСД при определенных условиях. Поскольку транспортировка без ЭСД запрещена, блокирующие условия для формирования ЭСД содержат признаки нарушения конституционной гарантии свободного перемещение товаров (ст. 8 Конституции).</w:t>
            </w:r>
          </w:p>
        </w:tc>
      </w:tr>
      <w:tr w:rsidR="00CF6495" w14:paraId="0D7648C5" w14:textId="6B1404AB" w:rsidTr="00B729B8">
        <w:tc>
          <w:tcPr>
            <w:tcW w:w="2405" w:type="dxa"/>
          </w:tcPr>
          <w:p w14:paraId="642971A8" w14:textId="77777777" w:rsidR="00CF6495" w:rsidRDefault="00CF6495" w:rsidP="00A5341A">
            <w:r>
              <w:lastRenderedPageBreak/>
              <w:t>Погрузка, выгрузка, хранение и переработка древесины</w:t>
            </w:r>
          </w:p>
        </w:tc>
        <w:tc>
          <w:tcPr>
            <w:tcW w:w="4491" w:type="dxa"/>
          </w:tcPr>
          <w:p w14:paraId="24FA1E4A" w14:textId="1E08393A" w:rsidR="00CF6495" w:rsidRDefault="00CF6495" w:rsidP="00A5341A">
            <w:r>
              <w:t>Требования отсутствуют.</w:t>
            </w:r>
          </w:p>
        </w:tc>
        <w:tc>
          <w:tcPr>
            <w:tcW w:w="4581" w:type="dxa"/>
          </w:tcPr>
          <w:p w14:paraId="2A68B1B5" w14:textId="77777777" w:rsidR="00CF6495" w:rsidRDefault="00CF6495" w:rsidP="00A5341A">
            <w:r>
              <w:t>Погрузка, выгрузка, хранение и переработка древесины, сведения о которой не внесены в ЛесЕГАИС запрещается.  Также такие операции запрещены в местах, сведения о которых не внесены в ЛесЕГАИС.</w:t>
            </w:r>
          </w:p>
        </w:tc>
        <w:tc>
          <w:tcPr>
            <w:tcW w:w="3969" w:type="dxa"/>
          </w:tcPr>
          <w:p w14:paraId="7A0410E0" w14:textId="5B62452E" w:rsidR="00CF6495" w:rsidRDefault="00B729B8" w:rsidP="00A5341A">
            <w:r>
              <w:t>Требуется подзаконный акт. Накладывает ограничения на возможность сортировки древесины. Существенно влияет на деятельность лиц, не связанных с</w:t>
            </w:r>
            <w:r w:rsidR="00A72606">
              <w:t xml:space="preserve"> ЛПК.</w:t>
            </w:r>
          </w:p>
        </w:tc>
      </w:tr>
      <w:tr w:rsidR="00E476D3" w14:paraId="64E5FB65" w14:textId="77777777" w:rsidTr="00F92D72">
        <w:tc>
          <w:tcPr>
            <w:tcW w:w="15446" w:type="dxa"/>
            <w:gridSpan w:val="4"/>
            <w:shd w:val="clear" w:color="auto" w:fill="E7E6E6" w:themeFill="background2"/>
          </w:tcPr>
          <w:p w14:paraId="7A8BEBE7" w14:textId="6201F8B7" w:rsidR="00E476D3" w:rsidRPr="00E476D3" w:rsidRDefault="00E476D3" w:rsidP="00A5341A">
            <w:r w:rsidRPr="00D7425A">
              <w:rPr>
                <w:b/>
                <w:bCs/>
              </w:rPr>
              <w:t>Предложение:</w:t>
            </w:r>
            <w:r>
              <w:rPr>
                <w:b/>
                <w:bCs/>
              </w:rPr>
              <w:t xml:space="preserve"> </w:t>
            </w:r>
            <w:r>
              <w:t>-</w:t>
            </w:r>
          </w:p>
        </w:tc>
      </w:tr>
      <w:tr w:rsidR="00CF6495" w14:paraId="53837E7E" w14:textId="09084BDA" w:rsidTr="00B729B8">
        <w:tc>
          <w:tcPr>
            <w:tcW w:w="2405" w:type="dxa"/>
          </w:tcPr>
          <w:p w14:paraId="0DD26325" w14:textId="77777777" w:rsidR="00CF6495" w:rsidRDefault="00CF6495" w:rsidP="00A5341A">
            <w:r>
              <w:t>Сделки с древесиной</w:t>
            </w:r>
          </w:p>
        </w:tc>
        <w:tc>
          <w:tcPr>
            <w:tcW w:w="4491" w:type="dxa"/>
          </w:tcPr>
          <w:p w14:paraId="5B32310C" w14:textId="77777777" w:rsidR="00CF6495" w:rsidRDefault="00CF6495" w:rsidP="00A5341A">
            <w:r>
              <w:t>Сделки с древесиной заключаются в свободной форме, не противоречащей законодательству Российской Федерации (ГК РФ). Сведения о заключении сделок в течении 5 рабочих дней с момента заключения такой сделки вносятся в ЛесЕГАИС в форме декларации о сделке с древесиной. Не реже одного раза в месяц в течение действия договора, в декларацию о сделке с древесиной вносятся сведения о фактическом объеме транспортировки древесины.</w:t>
            </w:r>
          </w:p>
        </w:tc>
        <w:tc>
          <w:tcPr>
            <w:tcW w:w="4581" w:type="dxa"/>
          </w:tcPr>
          <w:p w14:paraId="2F907273" w14:textId="24BC6C20" w:rsidR="00CF6495" w:rsidRDefault="00CF6495" w:rsidP="00A5341A">
            <w:r>
              <w:t>Сделки с древесиной, за исключением розничных, заключаются в ЛесЕГАИС. Порядок формирования договоров и подписания сделок с древесиной в ЛесЕГАИС, перечень сведений и формы договоров устанавливаются Правительством РФ.</w:t>
            </w:r>
          </w:p>
        </w:tc>
        <w:tc>
          <w:tcPr>
            <w:tcW w:w="3969" w:type="dxa"/>
          </w:tcPr>
          <w:p w14:paraId="1E52A205" w14:textId="75CD4FB9" w:rsidR="00CF6495" w:rsidRDefault="00A72606" w:rsidP="00A5341A">
            <w:r>
              <w:t>Требуется подзаконный акт. Излишне ограничивает возможност</w:t>
            </w:r>
            <w:r w:rsidR="00305996">
              <w:t>ь</w:t>
            </w:r>
            <w:r>
              <w:t xml:space="preserve"> ведения предпринимательской деятельности. Исключает возможность заключения импортных/экспортных сделок, поскольку иностранны</w:t>
            </w:r>
            <w:r w:rsidR="00927BE7">
              <w:t>е</w:t>
            </w:r>
            <w:r>
              <w:t xml:space="preserve"> ко</w:t>
            </w:r>
            <w:r w:rsidR="00927BE7">
              <w:t>мпании</w:t>
            </w:r>
            <w:r>
              <w:t xml:space="preserve"> не име</w:t>
            </w:r>
            <w:r w:rsidR="00927BE7">
              <w:t>ю</w:t>
            </w:r>
            <w:r>
              <w:t xml:space="preserve">т доступа к ЛесЕГАИС. </w:t>
            </w:r>
          </w:p>
        </w:tc>
      </w:tr>
      <w:tr w:rsidR="00E476D3" w14:paraId="7119533B" w14:textId="77777777" w:rsidTr="00F92D72">
        <w:tc>
          <w:tcPr>
            <w:tcW w:w="15446" w:type="dxa"/>
            <w:gridSpan w:val="4"/>
            <w:shd w:val="clear" w:color="auto" w:fill="E7E6E6" w:themeFill="background2"/>
          </w:tcPr>
          <w:p w14:paraId="1DCA3328" w14:textId="6BBD3A7C" w:rsidR="00E476D3" w:rsidRPr="00E476D3" w:rsidRDefault="00E476D3" w:rsidP="00A5341A">
            <w:r w:rsidRPr="00D7425A">
              <w:rPr>
                <w:b/>
                <w:bCs/>
              </w:rPr>
              <w:t>Предложение:</w:t>
            </w:r>
            <w:r>
              <w:rPr>
                <w:b/>
                <w:bCs/>
              </w:rPr>
              <w:t xml:space="preserve"> </w:t>
            </w:r>
            <w:r>
              <w:t xml:space="preserve">сохранить действующий механизм декларирования сделок с древесиной, с возможным расширением перечня сведений, вносимых в ДСД, при необходимости. Помимо этого, в целях исключения возникновения дополнительных факторов риска для экономической безопасности Российской </w:t>
            </w:r>
            <w:proofErr w:type="gramStart"/>
            <w:r>
              <w:t>Федерации</w:t>
            </w:r>
            <w:proofErr w:type="gramEnd"/>
            <w:r>
              <w:t xml:space="preserve"> а также для соблюдения сохранности сведений, составляющих коммерческую тайну, отказаться от нормы по внесению в ЛесЕГАИС сведений о стоимости сделок. </w:t>
            </w:r>
          </w:p>
        </w:tc>
      </w:tr>
      <w:tr w:rsidR="00CF6495" w14:paraId="39C40A77" w14:textId="631E59A7" w:rsidTr="00B729B8">
        <w:tc>
          <w:tcPr>
            <w:tcW w:w="2405" w:type="dxa"/>
          </w:tcPr>
          <w:p w14:paraId="76988402" w14:textId="77777777" w:rsidR="00CF6495" w:rsidRDefault="00CF6495" w:rsidP="00A5341A">
            <w:r>
              <w:t>Контрольно-надзорная деятельность</w:t>
            </w:r>
          </w:p>
        </w:tc>
        <w:tc>
          <w:tcPr>
            <w:tcW w:w="4491" w:type="dxa"/>
          </w:tcPr>
          <w:p w14:paraId="540D3191" w14:textId="77777777" w:rsidR="00CF6495" w:rsidRDefault="00CF6495" w:rsidP="00A5341A">
            <w:r>
              <w:t>Федеральный государственный лесной надзор (Лесная охрана). Осуществляется федеральными и региональными органами власти в области лесных отношений, в целях предупреждения, выявления и пресечения нарушений в области использования, охраны, защиты и воспроизводства лесов.</w:t>
            </w:r>
          </w:p>
        </w:tc>
        <w:tc>
          <w:tcPr>
            <w:tcW w:w="4581" w:type="dxa"/>
          </w:tcPr>
          <w:p w14:paraId="193376CC" w14:textId="77777777" w:rsidR="00CF6495" w:rsidRDefault="00CF6495" w:rsidP="00A5341A">
            <w:r>
              <w:t>Федеральный государственный лесной надзор (Лесная охрана). Федеральный государственный надзор в сфере перевозки древесины, погрузки, выгрузки, переработки и хранения древесины, учета древесины и сделок с ней.</w:t>
            </w:r>
          </w:p>
          <w:p w14:paraId="666131E5" w14:textId="77777777" w:rsidR="00CF6495" w:rsidRDefault="00CF6495" w:rsidP="00A5341A">
            <w:r>
              <w:t>+ Административное обследование лесов.</w:t>
            </w:r>
          </w:p>
        </w:tc>
        <w:tc>
          <w:tcPr>
            <w:tcW w:w="3969" w:type="dxa"/>
          </w:tcPr>
          <w:p w14:paraId="1E625295" w14:textId="0BF5C75E" w:rsidR="00CF6495" w:rsidRDefault="00927BE7" w:rsidP="00A5341A">
            <w:r>
              <w:t>Не установлено, кем осуществляется надзор. Содержит потенциально коррупциогенные факторы. Содержит нормы излишнего регулирования.</w:t>
            </w:r>
            <w:r w:rsidR="00D52D32">
              <w:t xml:space="preserve"> Содержит норму о досмотре машин и оборудования, не установленную законодательством РФ.</w:t>
            </w:r>
          </w:p>
        </w:tc>
      </w:tr>
      <w:tr w:rsidR="00E476D3" w14:paraId="01E78BEF" w14:textId="77777777" w:rsidTr="00F92D72">
        <w:tc>
          <w:tcPr>
            <w:tcW w:w="15446" w:type="dxa"/>
            <w:gridSpan w:val="4"/>
            <w:shd w:val="clear" w:color="auto" w:fill="E7E6E6" w:themeFill="background2"/>
          </w:tcPr>
          <w:p w14:paraId="5AF4F1A7" w14:textId="6774FB9B" w:rsidR="00E476D3" w:rsidRPr="00D52D32" w:rsidRDefault="00E476D3" w:rsidP="00A5341A">
            <w:r w:rsidRPr="00D7425A">
              <w:rPr>
                <w:b/>
                <w:bCs/>
              </w:rPr>
              <w:t>Предложение:</w:t>
            </w:r>
            <w:r w:rsidR="00D52D32">
              <w:rPr>
                <w:b/>
                <w:bCs/>
              </w:rPr>
              <w:t xml:space="preserve"> </w:t>
            </w:r>
            <w:r w:rsidR="00D52D32">
              <w:t xml:space="preserve">расширить полномочия существующей Лесной охраны, оставаясь в рамках 294-ФЗ «О защите прав юридических лиц и индивидуальных предпринимателей». Дополнить нормы о контрольно-надзорной деятельности требованиями по внесению сведений о проверках и результатах таких проверок в ЛесЕГАИС, с целью возможности осуществления контроля за деятельностью государственных инспекторов и исключения </w:t>
            </w:r>
            <w:proofErr w:type="spellStart"/>
            <w:r w:rsidR="00D52D32">
              <w:t>корупцоигенных</w:t>
            </w:r>
            <w:proofErr w:type="spellEnd"/>
            <w:r w:rsidR="00D52D32">
              <w:t xml:space="preserve"> факторов. Помимо </w:t>
            </w:r>
            <w:r w:rsidR="00D52D32">
              <w:lastRenderedPageBreak/>
              <w:t>этого, рассмотреть возможность опубликования актов административного обследования лесов в ЛесЕГАИС. Ввести механизм предупреждения нарушений лесного законодательства, методом направления ответственным лицам предписаний по устранению выявленных нарушений в определенные сроки.</w:t>
            </w:r>
          </w:p>
        </w:tc>
      </w:tr>
      <w:tr w:rsidR="00CF6495" w14:paraId="77E300A7" w14:textId="3D06DBB8" w:rsidTr="00B729B8">
        <w:tc>
          <w:tcPr>
            <w:tcW w:w="2405" w:type="dxa"/>
          </w:tcPr>
          <w:p w14:paraId="6572D1A3" w14:textId="2BED6A6A" w:rsidR="00CF6495" w:rsidRDefault="00CF6495" w:rsidP="00A5341A">
            <w:r>
              <w:lastRenderedPageBreak/>
              <w:t>Тушение лесных пожаров</w:t>
            </w:r>
          </w:p>
        </w:tc>
        <w:tc>
          <w:tcPr>
            <w:tcW w:w="4491" w:type="dxa"/>
          </w:tcPr>
          <w:p w14:paraId="00E14298" w14:textId="082CE354" w:rsidR="00CF6495" w:rsidRDefault="00CF6495" w:rsidP="00A5341A">
            <w:r>
              <w:t>Осуществляется органами власти.</w:t>
            </w:r>
          </w:p>
        </w:tc>
        <w:tc>
          <w:tcPr>
            <w:tcW w:w="4581" w:type="dxa"/>
          </w:tcPr>
          <w:p w14:paraId="5CC475AB" w14:textId="3D19B381" w:rsidR="00CF6495" w:rsidRDefault="00CF6495" w:rsidP="00A5341A">
            <w:r>
              <w:t>Осуществляется органами власти, а также арендаторами лесных участков.</w:t>
            </w:r>
          </w:p>
        </w:tc>
        <w:tc>
          <w:tcPr>
            <w:tcW w:w="3969" w:type="dxa"/>
          </w:tcPr>
          <w:p w14:paraId="4B280785" w14:textId="2FD6D120" w:rsidR="00CF6495" w:rsidRDefault="00927BE7" w:rsidP="00A5341A">
            <w:r>
              <w:t xml:space="preserve">Противоречит всем действующим нормам, связанным с тушением лесных пожаров. Не учитывает возможности арендаторов. </w:t>
            </w:r>
          </w:p>
        </w:tc>
      </w:tr>
      <w:tr w:rsidR="00D52D32" w14:paraId="6590A50C" w14:textId="77777777" w:rsidTr="00F92D72">
        <w:tc>
          <w:tcPr>
            <w:tcW w:w="15446" w:type="dxa"/>
            <w:gridSpan w:val="4"/>
            <w:shd w:val="clear" w:color="auto" w:fill="E7E6E6" w:themeFill="background2"/>
          </w:tcPr>
          <w:p w14:paraId="1CE057AF" w14:textId="5A084014" w:rsidR="00D52D32" w:rsidRPr="00D52D32" w:rsidRDefault="00D52D32" w:rsidP="00A5341A">
            <w:r w:rsidRPr="00D7425A">
              <w:rPr>
                <w:b/>
                <w:bCs/>
              </w:rPr>
              <w:t>Предложение:</w:t>
            </w:r>
            <w:r>
              <w:rPr>
                <w:b/>
                <w:bCs/>
              </w:rPr>
              <w:t xml:space="preserve"> </w:t>
            </w:r>
            <w:r>
              <w:t xml:space="preserve">отказаться от наложения обязанности по тушению лесных пожаров арендаторами лесных участков, поскольку такая работа связана с риском для жизни и здоровья людей, не подготовленных для осуществления таких работ. Рассмотреть возможность заключения договоров на оказание услуг по тушению лесных пожаров арендаторами на добровольной основе в случае, если арендатор имеет возможность подготовить </w:t>
            </w:r>
            <w:proofErr w:type="spellStart"/>
            <w:r>
              <w:t>лесопожарное</w:t>
            </w:r>
            <w:proofErr w:type="spellEnd"/>
            <w:r>
              <w:t xml:space="preserve"> формирование с необходимой техникой и оборудованием на предприятии, может гарантировать должный уровень квалификации таких сотрудников.</w:t>
            </w:r>
          </w:p>
        </w:tc>
      </w:tr>
    </w:tbl>
    <w:p w14:paraId="2B684AD5" w14:textId="098F319C" w:rsidR="002470BF" w:rsidRDefault="002470BF" w:rsidP="00FE43F1"/>
    <w:p w14:paraId="556EE831" w14:textId="4BF1368D" w:rsidR="00D52D32" w:rsidRDefault="00D52D32" w:rsidP="00FE43F1">
      <w:r>
        <w:t xml:space="preserve">Помимо этого, </w:t>
      </w:r>
      <w:r w:rsidR="005318D8">
        <w:t>предлагается пересмотреть перечень сведений, содержащихся в ЛесЕГАИС. Сбор в ЛесЕГАИС сведений о физических лицах, включая их персональные данные, данные документов, удостоверяющих личность, является фактором риска для информационной безопасности Российской Федерации. Сведения о физических лицах содержатся в государственном регистре граждан (168-ФЗ), дублирование сведений в ЛесЕГАИС нецелесообразно.</w:t>
      </w:r>
    </w:p>
    <w:p w14:paraId="6A1E0EAD" w14:textId="099FB12D" w:rsidR="005318D8" w:rsidRDefault="005318D8" w:rsidP="00FE43F1">
      <w:r>
        <w:t>Также предлагается привлечение специалистов отраслевого сообщества при формировании подзаконных актов, а также проекта федерального закона по внесению изменений в Кодекс об административных правонарушениях РФ и Уголовный кодекс РФ в части соблюдения требований лесного законодательства.</w:t>
      </w:r>
    </w:p>
    <w:sectPr w:rsidR="005318D8" w:rsidSect="003B43CB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CCA0C" w14:textId="77777777" w:rsidR="00FE43F1" w:rsidRDefault="00FE43F1" w:rsidP="00FE43F1">
      <w:pPr>
        <w:spacing w:after="0" w:line="240" w:lineRule="auto"/>
      </w:pPr>
      <w:r>
        <w:separator/>
      </w:r>
    </w:p>
  </w:endnote>
  <w:endnote w:type="continuationSeparator" w:id="0">
    <w:p w14:paraId="181A9F70" w14:textId="77777777" w:rsidR="00FE43F1" w:rsidRDefault="00FE43F1" w:rsidP="00FE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99EA6" w14:textId="31C42142" w:rsidR="00FE43F1" w:rsidRDefault="00FE43F1" w:rsidP="00FE43F1">
    <w:pPr>
      <w:pStyle w:val="a4"/>
      <w:rPr>
        <w:sz w:val="20"/>
        <w:szCs w:val="20"/>
      </w:rPr>
    </w:pPr>
    <w:r w:rsidRPr="006C7FB0">
      <w:rPr>
        <w:sz w:val="20"/>
        <w:szCs w:val="20"/>
      </w:rPr>
      <w:t>ООО «АСП», 197343, г. Санкт-Петербург.</w:t>
    </w:r>
    <w:r>
      <w:rPr>
        <w:sz w:val="20"/>
        <w:szCs w:val="20"/>
      </w:rPr>
      <w:t xml:space="preserve"> </w:t>
    </w:r>
    <w:r w:rsidRPr="006C7FB0">
      <w:rPr>
        <w:sz w:val="20"/>
        <w:szCs w:val="20"/>
      </w:rPr>
      <w:t>ул. Матроса Железняка, д. 57, лит. А, пом. 122Н</w:t>
    </w:r>
    <w:r w:rsidRPr="000F6DB5">
      <w:rPr>
        <w:sz w:val="20"/>
        <w:szCs w:val="20"/>
      </w:rPr>
      <w:t xml:space="preserve"> (</w:t>
    </w:r>
    <w:r>
      <w:rPr>
        <w:sz w:val="20"/>
        <w:szCs w:val="20"/>
      </w:rPr>
      <w:t>оф.</w:t>
    </w:r>
    <w:r w:rsidRPr="000F6DB5">
      <w:rPr>
        <w:sz w:val="20"/>
        <w:szCs w:val="20"/>
      </w:rPr>
      <w:t xml:space="preserve"> 301)</w:t>
    </w:r>
    <w:r>
      <w:rPr>
        <w:sz w:val="20"/>
        <w:szCs w:val="20"/>
      </w:rPr>
      <w:t>.</w:t>
    </w:r>
  </w:p>
  <w:p w14:paraId="5120625F" w14:textId="61334D64" w:rsidR="00FE43F1" w:rsidRPr="00FE43F1" w:rsidRDefault="00FE43F1" w:rsidP="00FE43F1">
    <w:pPr>
      <w:pStyle w:val="a4"/>
    </w:pPr>
    <w:r w:rsidRPr="006C7FB0">
      <w:rPr>
        <w:sz w:val="20"/>
        <w:szCs w:val="20"/>
      </w:rPr>
      <w:t>ИНН 7814754850</w:t>
    </w:r>
    <w:r>
      <w:rPr>
        <w:sz w:val="20"/>
        <w:szCs w:val="20"/>
      </w:rPr>
      <w:t xml:space="preserve"> </w:t>
    </w:r>
    <w:r w:rsidRPr="006C7FB0">
      <w:rPr>
        <w:sz w:val="20"/>
        <w:szCs w:val="20"/>
      </w:rPr>
      <w:t>ОГРН 1197847055031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6A903" w14:textId="77777777" w:rsidR="00FE43F1" w:rsidRDefault="00FE43F1" w:rsidP="00FE43F1">
      <w:pPr>
        <w:spacing w:after="0" w:line="240" w:lineRule="auto"/>
      </w:pPr>
      <w:r>
        <w:separator/>
      </w:r>
    </w:p>
  </w:footnote>
  <w:footnote w:type="continuationSeparator" w:id="0">
    <w:p w14:paraId="53268F17" w14:textId="77777777" w:rsidR="00FE43F1" w:rsidRDefault="00FE43F1" w:rsidP="00FE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85"/>
      <w:gridCol w:w="4075"/>
    </w:tblGrid>
    <w:tr w:rsidR="00FE43F1" w14:paraId="46F0ED8F" w14:textId="77777777" w:rsidTr="00A5341A">
      <w:tc>
        <w:tcPr>
          <w:tcW w:w="10485" w:type="dxa"/>
        </w:tcPr>
        <w:p w14:paraId="0C8B0212" w14:textId="6C9B0A0F" w:rsidR="00FE43F1" w:rsidRDefault="00FE43F1" w:rsidP="00FE43F1">
          <w:pPr>
            <w:pStyle w:val="a4"/>
            <w:jc w:val="right"/>
            <w:rPr>
              <w:sz w:val="20"/>
              <w:szCs w:val="20"/>
            </w:rPr>
          </w:pPr>
        </w:p>
      </w:tc>
      <w:tc>
        <w:tcPr>
          <w:tcW w:w="4075" w:type="dxa"/>
        </w:tcPr>
        <w:p w14:paraId="28E7123F" w14:textId="00D02DA9" w:rsidR="00FE43F1" w:rsidRDefault="00FE43F1" w:rsidP="00FE43F1">
          <w:pPr>
            <w:pStyle w:val="a6"/>
          </w:pPr>
        </w:p>
        <w:p w14:paraId="6B8420F3" w14:textId="12DDC0E9" w:rsidR="00FE43F1" w:rsidRDefault="00B21726" w:rsidP="00FE43F1">
          <w:pPr>
            <w:pStyle w:val="a4"/>
            <w:rPr>
              <w:sz w:val="20"/>
              <w:szCs w:val="20"/>
            </w:rPr>
          </w:pPr>
          <w:r>
            <w:rPr>
              <w:sz w:val="20"/>
              <w:szCs w:val="20"/>
            </w:rPr>
            <w:t>Приложение 1</w:t>
          </w:r>
        </w:p>
      </w:tc>
    </w:tr>
  </w:tbl>
  <w:p w14:paraId="4ABCABEB" w14:textId="7DA71F7E" w:rsidR="00FE43F1" w:rsidRDefault="00FE43F1">
    <w:pPr>
      <w:pStyle w:val="a4"/>
    </w:pPr>
    <w:r w:rsidRPr="006C7FB0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3D6545A" wp14:editId="28442B61">
          <wp:simplePos x="0" y="0"/>
          <wp:positionH relativeFrom="margin">
            <wp:posOffset>0</wp:posOffset>
          </wp:positionH>
          <wp:positionV relativeFrom="paragraph">
            <wp:posOffset>-658495</wp:posOffset>
          </wp:positionV>
          <wp:extent cx="2680335" cy="847090"/>
          <wp:effectExtent l="0" t="0" r="571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P_cap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CB"/>
    <w:rsid w:val="00246DB5"/>
    <w:rsid w:val="002470BF"/>
    <w:rsid w:val="00305996"/>
    <w:rsid w:val="003B43CB"/>
    <w:rsid w:val="005318D8"/>
    <w:rsid w:val="00596517"/>
    <w:rsid w:val="006F0C26"/>
    <w:rsid w:val="0079069F"/>
    <w:rsid w:val="00927BE7"/>
    <w:rsid w:val="00A72606"/>
    <w:rsid w:val="00B21726"/>
    <w:rsid w:val="00B729B8"/>
    <w:rsid w:val="00CF6495"/>
    <w:rsid w:val="00D52D32"/>
    <w:rsid w:val="00D53A3E"/>
    <w:rsid w:val="00D7425A"/>
    <w:rsid w:val="00E476D3"/>
    <w:rsid w:val="00F37419"/>
    <w:rsid w:val="00F71AFE"/>
    <w:rsid w:val="00F92D72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5B36"/>
  <w15:chartTrackingRefBased/>
  <w15:docId w15:val="{2A92518A-E9FA-410E-995C-D3BDC92A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3F1"/>
  </w:style>
  <w:style w:type="paragraph" w:styleId="a6">
    <w:name w:val="footer"/>
    <w:basedOn w:val="a"/>
    <w:link w:val="a7"/>
    <w:uiPriority w:val="99"/>
    <w:unhideWhenUsed/>
    <w:rsid w:val="00FE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i</dc:creator>
  <cp:keywords/>
  <dc:description/>
  <cp:lastModifiedBy>am i</cp:lastModifiedBy>
  <cp:revision>6</cp:revision>
  <dcterms:created xsi:type="dcterms:W3CDTF">2020-08-16T12:34:00Z</dcterms:created>
  <dcterms:modified xsi:type="dcterms:W3CDTF">2020-08-26T18:39:00Z</dcterms:modified>
</cp:coreProperties>
</file>