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C6D" w:rsidRDefault="00382C6D" w:rsidP="00382C6D">
      <w:pPr>
        <w:pStyle w:val="1"/>
        <w:spacing w:before="312" w:beforeAutospacing="0" w:after="72" w:afterAutospacing="0" w:line="405" w:lineRule="atLeast"/>
        <w:rPr>
          <w:rFonts w:ascii="Arial" w:hAnsi="Arial" w:cs="Arial"/>
          <w:b w:val="0"/>
          <w:bCs w:val="0"/>
          <w:sz w:val="33"/>
          <w:szCs w:val="33"/>
        </w:rPr>
      </w:pPr>
      <w:r>
        <w:rPr>
          <w:rFonts w:ascii="Arial" w:hAnsi="Arial" w:cs="Arial"/>
          <w:b w:val="0"/>
          <w:bCs w:val="0"/>
          <w:sz w:val="33"/>
          <w:szCs w:val="33"/>
        </w:rPr>
        <w:t>Статья 50.2 ЛК РФ. Маркировка древесины (действующая редакция)</w:t>
      </w:r>
    </w:p>
    <w:p w:rsidR="00382C6D" w:rsidRDefault="00382C6D" w:rsidP="00382C6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1. Определенная в соответствии с частью 2 статьи 50.3 настоящего Кодекса древесина ценных лесных пород (дуб, бук, ясень), заготовка которых допускается в соответствии с законодательством Российской Федерации, подлежит обязательной поштучной маркировке юридическими лицами, индивидуальными предпринимателями, осуществляющими ее вывоз из Российской Федерации.</w:t>
      </w:r>
    </w:p>
    <w:p w:rsidR="00382C6D" w:rsidRDefault="00382C6D" w:rsidP="00382C6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2. Информация о маркировке древесины, указанной в части 1 настоящей статьи, представляется юридическими лицами, индивидуальными предпринимателями, осуществляющими вывоз такой древесины из Российской Федерации, в единую государственную автоматизированную информационную систему учета древесины и сделок с ней в форме электронного документа, подписанного электронной подписью,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услуг, не позднее одного дня до ее вывоза из Российской Федерации.</w:t>
      </w:r>
    </w:p>
    <w:p w:rsidR="00382C6D" w:rsidRDefault="00382C6D" w:rsidP="00382C6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3. Маркировка древесины, указанной в части 1 настоящей статьи, должна обеспечивать возможность нанесения и считывания сведений о маркируемой древесине с использованием технических средств.</w:t>
      </w:r>
    </w:p>
    <w:p w:rsidR="00382C6D" w:rsidRDefault="00382C6D" w:rsidP="00382C6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4. Порядок маркировки и требования к маркировке древесины, указанной в части 1 настоящей статьи, перечень информации о маркировке указанной древесины, представляемой в единую государственную автоматизированную информационную систему учета древесины и сделок с ней в соответствии с частью 2 настоящей статьи, устанавливаются Правительством Российской Федерации.</w:t>
      </w:r>
    </w:p>
    <w:p w:rsidR="00382C6D" w:rsidRDefault="00382C6D" w:rsidP="00382C6D">
      <w:pPr>
        <w:pStyle w:val="1"/>
        <w:spacing w:before="312" w:beforeAutospacing="0" w:after="72" w:afterAutospacing="0" w:line="405" w:lineRule="atLeast"/>
        <w:rPr>
          <w:rFonts w:ascii="Arial" w:hAnsi="Arial" w:cs="Arial"/>
          <w:b w:val="0"/>
          <w:bCs w:val="0"/>
          <w:sz w:val="33"/>
          <w:szCs w:val="33"/>
        </w:rPr>
      </w:pPr>
      <w:r>
        <w:rPr>
          <w:rFonts w:ascii="Arial" w:hAnsi="Arial" w:cs="Arial"/>
          <w:b w:val="0"/>
          <w:bCs w:val="0"/>
          <w:sz w:val="33"/>
          <w:szCs w:val="33"/>
        </w:rPr>
        <w:t xml:space="preserve"> </w:t>
      </w:r>
      <w:bookmarkStart w:id="0" w:name="_GoBack"/>
      <w:bookmarkEnd w:id="0"/>
      <w:r>
        <w:rPr>
          <w:rFonts w:ascii="Arial" w:hAnsi="Arial" w:cs="Arial"/>
          <w:b w:val="0"/>
          <w:bCs w:val="0"/>
          <w:sz w:val="33"/>
          <w:szCs w:val="33"/>
        </w:rPr>
        <w:t>Статья 50.3 ЛК РФ. Общие положения о транспортировке древесины и об учете сделок с ней (действующая редакция)</w:t>
      </w:r>
    </w:p>
    <w:p w:rsidR="00382C6D" w:rsidRDefault="00382C6D" w:rsidP="00382C6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1. Транспортировка древесины и сделки с ней осуществляются в порядке, установленном гражданским законодательством, с учетом положений настоящей главы.</w:t>
      </w:r>
    </w:p>
    <w:p w:rsidR="00382C6D" w:rsidRDefault="00382C6D" w:rsidP="00382C6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lastRenderedPageBreak/>
        <w:t>2. Виды древесины, на которые распространяются требования настоящей главы, определяются Правительством Российской Федерации в соответствии с Общероссийским классификатором продукции, Товарной номенклатурой внешнеэкономической деятельности.</w:t>
      </w:r>
    </w:p>
    <w:p w:rsidR="00382C6D" w:rsidRDefault="00382C6D" w:rsidP="00382C6D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3. При отчуждении древесины соответствующие договоры, заключенные лицами, осуществившими ее заготовку, должны содержать сведения о документах, которые указаны в пункте 3 части 2 статьи 50.5 настоящего Кодекса.</w:t>
      </w:r>
    </w:p>
    <w:p w:rsidR="002B132C" w:rsidRPr="002B132C" w:rsidRDefault="00382C6D" w:rsidP="00382C6D">
      <w:pPr>
        <w:spacing w:before="312" w:after="72" w:line="405" w:lineRule="atLeast"/>
        <w:outlineLvl w:val="0"/>
        <w:rPr>
          <w:rFonts w:ascii="Arial" w:eastAsia="Times New Roman" w:hAnsi="Arial" w:cs="Arial"/>
          <w:kern w:val="36"/>
          <w:sz w:val="33"/>
          <w:szCs w:val="33"/>
          <w:lang w:eastAsia="ru-RU"/>
        </w:rPr>
      </w:pPr>
      <w:r w:rsidRPr="002B132C">
        <w:rPr>
          <w:rFonts w:ascii="Arial" w:eastAsia="Times New Roman" w:hAnsi="Arial" w:cs="Arial"/>
          <w:kern w:val="36"/>
          <w:sz w:val="33"/>
          <w:szCs w:val="33"/>
          <w:lang w:eastAsia="ru-RU"/>
        </w:rPr>
        <w:t xml:space="preserve"> </w:t>
      </w:r>
      <w:r w:rsidR="002B132C" w:rsidRPr="002B132C">
        <w:rPr>
          <w:rFonts w:ascii="Arial" w:eastAsia="Times New Roman" w:hAnsi="Arial" w:cs="Arial"/>
          <w:kern w:val="36"/>
          <w:sz w:val="33"/>
          <w:szCs w:val="33"/>
          <w:lang w:eastAsia="ru-RU"/>
        </w:rPr>
        <w:t>Статья 50.4 ЛК РФ. Транспортировка древесины (действующая редакция)</w:t>
      </w:r>
    </w:p>
    <w:p w:rsidR="002B132C" w:rsidRPr="002B132C" w:rsidRDefault="002B132C" w:rsidP="002B132C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2B132C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1. Транспортировка, в том числе на основании договора перевозки, древесины любым видом транспорта осуществляется при наличии сопроводительного документа, в котором указываются сведения о собственнике, грузоотправителе, грузополучателе, перевозчике древесины, ее объеме, видовом (породном) и сортиментном составе, пунктах отправления и назначения, номере декларации о сделках с древесиной (в случае, если совершались сделки с указанной древесиной), а также номере государственного регистрационного знака транспортного средства, на котором осуществляется транспортировка древесины (в случае ее транспортировки автомобильным транспортом).</w:t>
      </w:r>
    </w:p>
    <w:p w:rsidR="002B132C" w:rsidRPr="002B132C" w:rsidRDefault="002B132C" w:rsidP="002B132C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2B132C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2. Сопроводительный документ оформляется юридическими лицами, индивидуальными предпринимателями, являющимися собственниками древесины.</w:t>
      </w:r>
    </w:p>
    <w:p w:rsidR="002B132C" w:rsidRPr="002B132C" w:rsidRDefault="002B132C" w:rsidP="002B132C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2B132C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3. Требования, предусмотренные частью 1 настоящей статьи, не применяются к транспортировке древесины, заготовленной гражданами для собственных нужд.</w:t>
      </w:r>
    </w:p>
    <w:p w:rsidR="002B132C" w:rsidRPr="002B132C" w:rsidRDefault="002B132C" w:rsidP="002B132C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2B132C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4. Форма сопроводительного документа и порядок его заполнения определяются Правительством Российской Федерации.</w:t>
      </w:r>
    </w:p>
    <w:p w:rsidR="00005A3C" w:rsidRDefault="00382C6D"/>
    <w:sectPr w:rsidR="00005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2C"/>
    <w:rsid w:val="002B132C"/>
    <w:rsid w:val="00382C6D"/>
    <w:rsid w:val="00BE3526"/>
    <w:rsid w:val="00E8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3894B-AF18-4B88-B1C5-DC08729B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13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3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1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2</cp:revision>
  <dcterms:created xsi:type="dcterms:W3CDTF">2019-02-26T23:25:00Z</dcterms:created>
  <dcterms:modified xsi:type="dcterms:W3CDTF">2019-02-26T23:28:00Z</dcterms:modified>
</cp:coreProperties>
</file>